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D8C7" w14:textId="77777777" w:rsidR="004370D6" w:rsidRPr="00AF4629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 w:rsidRPr="00AF4629">
        <w:rPr>
          <w:rFonts w:ascii="Times New Roman" w:hAnsi="Times New Roman" w:cs="Times New Roman"/>
          <w:b/>
          <w:sz w:val="28"/>
        </w:rPr>
        <w:t>POZIV NA DODJELU BESPOVRATNIH SREDSTAVA</w:t>
      </w:r>
      <w:r w:rsidRPr="00AF4629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2763645" w14:textId="79D53D2C" w:rsidR="004370D6" w:rsidRPr="00AF4629" w:rsidRDefault="00607968" w:rsidP="004370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171796"/>
          <w:sz w:val="28"/>
          <w:szCs w:val="40"/>
        </w:rPr>
        <w:t>CILJANA ZNANSTVENA ISTRAŽIVANJA</w:t>
      </w:r>
    </w:p>
    <w:p w14:paraId="0C0C9ECE" w14:textId="19850B92" w:rsidR="004370D6" w:rsidRPr="00AF4629" w:rsidRDefault="004370D6" w:rsidP="004370D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221D4">
        <w:rPr>
          <w:rFonts w:ascii="Times New Roman" w:hAnsi="Times New Roman" w:cs="Times New Roman"/>
          <w:b/>
          <w:sz w:val="24"/>
          <w:szCs w:val="24"/>
        </w:rPr>
        <w:t>(</w:t>
      </w:r>
      <w:r w:rsidRPr="008221D4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F653C3" w:rsidRPr="00822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21D4" w:rsidRPr="008221D4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8221D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DBE0BA2" w14:textId="77777777" w:rsidR="004370D6" w:rsidRPr="00AF4629" w:rsidRDefault="004370D6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12BC5547" w:rsidR="0064609E" w:rsidRPr="00487A73" w:rsidRDefault="00607968" w:rsidP="00487A73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PRILOG</w:t>
      </w:r>
      <w:r w:rsidR="009453AE" w:rsidRPr="00487A73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 xml:space="preserve"> 12</w:t>
      </w:r>
      <w:r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.</w:t>
      </w:r>
    </w:p>
    <w:p w14:paraId="6D3B3AAD" w14:textId="77777777" w:rsidR="009453AE" w:rsidRPr="00AF4629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A8A0DAC" w:rsidR="009453AE" w:rsidRPr="00AF4629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AF4629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Kontrolna lista za administrativnu provjeru i provjeru prihvatljivosti prijavitelja, partnera i projekta</w:t>
      </w:r>
    </w:p>
    <w:p w14:paraId="5B454C25" w14:textId="4CEBA81E" w:rsidR="00AE68AF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289" w:tblpY="6831"/>
        <w:tblW w:w="9782" w:type="dxa"/>
        <w:tblLook w:val="04A0" w:firstRow="1" w:lastRow="0" w:firstColumn="1" w:lastColumn="0" w:noHBand="0" w:noVBand="1"/>
      </w:tblPr>
      <w:tblGrid>
        <w:gridCol w:w="3611"/>
        <w:gridCol w:w="6171"/>
      </w:tblGrid>
      <w:tr w:rsidR="00EF4360" w14:paraId="2A1C07B5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52D984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fontstyle01"/>
                <w:b/>
                <w:bCs/>
              </w:rPr>
              <w:t>Naziv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  <w:proofErr w:type="spellStart"/>
            <w:r>
              <w:rPr>
                <w:rStyle w:val="fontstyle01"/>
                <w:b/>
                <w:bCs/>
              </w:rPr>
              <w:t>Poziva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FAD" w14:textId="5E14B4C1" w:rsidR="00EF4360" w:rsidRDefault="00EF4360" w:rsidP="00EF4360"/>
        </w:tc>
      </w:tr>
      <w:tr w:rsidR="00EF4360" w14:paraId="71500B5F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065A7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fontstyle01"/>
                <w:b/>
                <w:bCs/>
              </w:rPr>
              <w:t>Referentna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  <w:proofErr w:type="spellStart"/>
            <w:r>
              <w:rPr>
                <w:rStyle w:val="fontstyle01"/>
                <w:b/>
                <w:bCs/>
              </w:rPr>
              <w:t>oznaka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  <w:proofErr w:type="spellStart"/>
            <w:r>
              <w:rPr>
                <w:rStyle w:val="fontstyle01"/>
                <w:b/>
                <w:bCs/>
              </w:rPr>
              <w:t>Poziva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624D" w14:textId="22B684AE" w:rsidR="00EF4360" w:rsidRDefault="00EF4360" w:rsidP="00EF4360"/>
        </w:tc>
      </w:tr>
      <w:tr w:rsidR="00EF4360" w14:paraId="526F453C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D12ED4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Naziv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prijavitelja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379" w14:textId="77777777" w:rsidR="00EF4360" w:rsidRDefault="00EF4360" w:rsidP="00EF4360"/>
        </w:tc>
      </w:tr>
      <w:tr w:rsidR="00EF4360" w14:paraId="643884E2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FE531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Naziv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projektnog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CD7" w14:textId="77777777" w:rsidR="00EF4360" w:rsidRDefault="00EF4360" w:rsidP="00EF4360"/>
        </w:tc>
      </w:tr>
      <w:tr w:rsidR="00EF4360" w14:paraId="3A480236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4EB574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Referentna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oznaka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projektnog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DCC" w14:textId="77777777" w:rsidR="00EF4360" w:rsidRDefault="00EF4360" w:rsidP="00EF4360"/>
        </w:tc>
      </w:tr>
    </w:tbl>
    <w:p w14:paraId="7789A90E" w14:textId="77777777" w:rsidR="00EF4360" w:rsidRDefault="00EF4360" w:rsidP="00EF4360">
      <w:pPr>
        <w:rPr>
          <w:rFonts w:ascii="TimesNewRomanPS-BoldMT" w:hAnsi="TimesNewRomanPS-BoldMT" w:hint="eastAsia"/>
          <w:b/>
          <w:bCs/>
          <w:color w:val="000000"/>
          <w:sz w:val="24"/>
          <w:szCs w:val="24"/>
        </w:rPr>
      </w:pPr>
    </w:p>
    <w:p w14:paraId="44E542A2" w14:textId="61DAE3F5" w:rsidR="00EF4360" w:rsidRDefault="00EF4360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2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510"/>
        <w:gridCol w:w="2885"/>
      </w:tblGrid>
      <w:tr w:rsidR="009453AE" w:rsidRPr="00AF4629" w14:paraId="161C2E03" w14:textId="77777777" w:rsidTr="00487A73">
        <w:tc>
          <w:tcPr>
            <w:tcW w:w="568" w:type="dxa"/>
            <w:shd w:val="clear" w:color="auto" w:fill="D9E2F3"/>
            <w:vAlign w:val="center"/>
          </w:tcPr>
          <w:p w14:paraId="4EE50F2E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44843872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1F763400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885" w:type="dxa"/>
            <w:shd w:val="clear" w:color="auto" w:fill="D9E2F3"/>
            <w:vAlign w:val="center"/>
          </w:tcPr>
          <w:p w14:paraId="14B59B86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AF4629" w:rsidRPr="00AF4629" w14:paraId="1D647B81" w14:textId="77777777" w:rsidTr="00487A73">
        <w:tc>
          <w:tcPr>
            <w:tcW w:w="568" w:type="dxa"/>
            <w:vAlign w:val="center"/>
          </w:tcPr>
          <w:p w14:paraId="521DE3C2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819" w:type="dxa"/>
            <w:vAlign w:val="center"/>
          </w:tcPr>
          <w:p w14:paraId="45E5FFC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  <w:p w14:paraId="5FB76BEE" w14:textId="435F1956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Izuzev Obrasca 2. Dodatni informacijski obrazac i Obrasca </w:t>
            </w:r>
            <w:r w:rsidR="00D80B8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8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.a Životopis voditelja projekta na engleskom jeziku, koji se dostavljaju na engleskom jeziku.</w:t>
            </w:r>
          </w:p>
        </w:tc>
        <w:tc>
          <w:tcPr>
            <w:tcW w:w="1510" w:type="dxa"/>
            <w:vAlign w:val="center"/>
          </w:tcPr>
          <w:p w14:paraId="1AB47D3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1934E5E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2410CD31" w14:textId="77777777" w:rsidTr="00487A73">
        <w:tc>
          <w:tcPr>
            <w:tcW w:w="568" w:type="dxa"/>
            <w:vAlign w:val="center"/>
          </w:tcPr>
          <w:p w14:paraId="32E2BA4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819" w:type="dxa"/>
            <w:vAlign w:val="center"/>
          </w:tcPr>
          <w:p w14:paraId="3F10713C" w14:textId="08B6FF0F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Obrazac 2. Dodatni informacijski obrazac.</w:t>
            </w:r>
          </w:p>
        </w:tc>
        <w:tc>
          <w:tcPr>
            <w:tcW w:w="1510" w:type="dxa"/>
            <w:vAlign w:val="center"/>
          </w:tcPr>
          <w:p w14:paraId="74D4DCE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252C003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238CEB9B" w14:textId="77777777" w:rsidTr="00487A73">
        <w:tc>
          <w:tcPr>
            <w:tcW w:w="568" w:type="dxa"/>
            <w:vAlign w:val="center"/>
          </w:tcPr>
          <w:p w14:paraId="339CA5C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819" w:type="dxa"/>
            <w:vAlign w:val="center"/>
          </w:tcPr>
          <w:p w14:paraId="1B904FA9" w14:textId="59BDBF4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Obrazac 3. Izjava prijavitelja o istinitosti podataka, izbjegavanju dvostrukog financiranja i ispunjavanju preduvjeta za sudjelovanje u postupku dodjele na način opisan u Uputama. </w:t>
            </w:r>
          </w:p>
        </w:tc>
        <w:tc>
          <w:tcPr>
            <w:tcW w:w="1510" w:type="dxa"/>
            <w:vAlign w:val="center"/>
          </w:tcPr>
          <w:p w14:paraId="0A4CB8C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3C5853A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573B1A71" w14:textId="77777777" w:rsidTr="00487A73">
        <w:tc>
          <w:tcPr>
            <w:tcW w:w="568" w:type="dxa"/>
            <w:vAlign w:val="center"/>
          </w:tcPr>
          <w:p w14:paraId="703761E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4.</w:t>
            </w:r>
          </w:p>
        </w:tc>
        <w:tc>
          <w:tcPr>
            <w:tcW w:w="4819" w:type="dxa"/>
            <w:vAlign w:val="center"/>
          </w:tcPr>
          <w:p w14:paraId="7577E0DB" w14:textId="24EAA3D9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Partner je dostavio Obrazac 4. Izjava partnera o istinitosti podataka, izbjegavanju dvostrukog financiranja i ispunjavanju preduvjeta za sudjelovanje u postupku dodjele na način opisan u Uputama. </w:t>
            </w:r>
          </w:p>
        </w:tc>
        <w:tc>
          <w:tcPr>
            <w:tcW w:w="1510" w:type="dxa"/>
            <w:vAlign w:val="center"/>
          </w:tcPr>
          <w:p w14:paraId="12FA1CB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202C1C0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4C462052" w14:textId="77777777" w:rsidTr="00487A73">
        <w:tc>
          <w:tcPr>
            <w:tcW w:w="568" w:type="dxa"/>
            <w:vAlign w:val="center"/>
          </w:tcPr>
          <w:p w14:paraId="1172573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819" w:type="dxa"/>
            <w:vAlign w:val="center"/>
          </w:tcPr>
          <w:p w14:paraId="08608D98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Prijavitelj/partner je dostavio Obrazac 5. Skupna izjava na način opisan u Uputama.</w:t>
            </w:r>
          </w:p>
          <w:p w14:paraId="6A889D9D" w14:textId="7B24B231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*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Nije primjenjivo za velika poduzeća i istraživačke organizacije</w:t>
            </w:r>
          </w:p>
        </w:tc>
        <w:tc>
          <w:tcPr>
            <w:tcW w:w="1510" w:type="dxa"/>
            <w:vAlign w:val="center"/>
          </w:tcPr>
          <w:p w14:paraId="1613789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0404EEB4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6F3461B5" w14:textId="77777777" w:rsidTr="00487A73">
        <w:tc>
          <w:tcPr>
            <w:tcW w:w="568" w:type="dxa"/>
            <w:vAlign w:val="center"/>
          </w:tcPr>
          <w:p w14:paraId="3952B4B8" w14:textId="77777777" w:rsidR="00AF4629" w:rsidRPr="00AF4629" w:rsidDel="00BC051F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819" w:type="dxa"/>
            <w:vAlign w:val="center"/>
          </w:tcPr>
          <w:p w14:paraId="34EBC2E6" w14:textId="0C9DC7F9" w:rsidR="00AF4629" w:rsidRPr="00AF4629" w:rsidDel="00BC051F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popunjen Obrazac 6. Izjava o usklađenosti projektnog prijedloga s načelom „ne nanosi bitnu štetu“.</w:t>
            </w:r>
          </w:p>
        </w:tc>
        <w:tc>
          <w:tcPr>
            <w:tcW w:w="1510" w:type="dxa"/>
            <w:vAlign w:val="center"/>
          </w:tcPr>
          <w:p w14:paraId="53A0B30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57017D6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87A73" w:rsidRPr="00AF4629" w14:paraId="0D1FAA03" w14:textId="77777777" w:rsidTr="00EF4360">
        <w:tc>
          <w:tcPr>
            <w:tcW w:w="568" w:type="dxa"/>
            <w:vAlign w:val="center"/>
          </w:tcPr>
          <w:p w14:paraId="24CBCB2F" w14:textId="4A8DFBE7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14:paraId="393E8472" w14:textId="70ADED4B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parner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dostavio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ispunjen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prijavitelja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statusu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(ne)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povrativost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poreza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dodanu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  <w:proofErr w:type="spellEnd"/>
          </w:p>
        </w:tc>
        <w:tc>
          <w:tcPr>
            <w:tcW w:w="1510" w:type="dxa"/>
            <w:vAlign w:val="center"/>
          </w:tcPr>
          <w:p w14:paraId="2E6BCFFF" w14:textId="77777777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9174785" w14:textId="77777777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29" w:rsidRPr="00AF4629" w14:paraId="6CCACFE2" w14:textId="77777777" w:rsidTr="00487A73">
        <w:tc>
          <w:tcPr>
            <w:tcW w:w="568" w:type="dxa"/>
            <w:vAlign w:val="center"/>
          </w:tcPr>
          <w:p w14:paraId="47954AAC" w14:textId="325BC9B1" w:rsidR="00AF4629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4819" w:type="dxa"/>
            <w:vAlign w:val="center"/>
          </w:tcPr>
          <w:p w14:paraId="455E944E" w14:textId="44D3A16B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popunjen Obrazac 9. Doprinos Strategiji pametne specijalizacije 2029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(ako je primjenjivo)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10" w:type="dxa"/>
            <w:vAlign w:val="center"/>
          </w:tcPr>
          <w:p w14:paraId="586C5CC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50306CC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2AF8262" w14:textId="77777777" w:rsidTr="00487A73">
        <w:tc>
          <w:tcPr>
            <w:tcW w:w="568" w:type="dxa"/>
            <w:vAlign w:val="center"/>
          </w:tcPr>
          <w:p w14:paraId="3B960205" w14:textId="06554FCA" w:rsidR="00AF4629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04D84978" w14:textId="2785E04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popunio online početnu anketu sukladno uputama za istu. </w:t>
            </w:r>
          </w:p>
        </w:tc>
        <w:tc>
          <w:tcPr>
            <w:tcW w:w="1510" w:type="dxa"/>
            <w:vAlign w:val="center"/>
          </w:tcPr>
          <w:p w14:paraId="7887374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766102A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A33234A" w14:textId="77777777" w:rsidTr="00487A73">
        <w:tc>
          <w:tcPr>
            <w:tcW w:w="568" w:type="dxa"/>
            <w:vAlign w:val="center"/>
          </w:tcPr>
          <w:p w14:paraId="2229A89E" w14:textId="11E2AC9C" w:rsidR="00AF4629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33368606" w14:textId="6D8783B8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dokaze o projektnom timu na način opisan u Uputama.</w:t>
            </w:r>
          </w:p>
        </w:tc>
        <w:tc>
          <w:tcPr>
            <w:tcW w:w="1510" w:type="dxa"/>
            <w:vAlign w:val="center"/>
          </w:tcPr>
          <w:p w14:paraId="4DC06FB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6A8BA48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BF9D2EB" w14:textId="77777777" w:rsidTr="00487A73">
        <w:tc>
          <w:tcPr>
            <w:tcW w:w="568" w:type="dxa"/>
            <w:vAlign w:val="center"/>
          </w:tcPr>
          <w:p w14:paraId="66DD7E5C" w14:textId="4004A74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36E37E7C" w14:textId="45A9CC51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dokaze o istraživačkom timu na način opisan u Uputama.</w:t>
            </w:r>
          </w:p>
        </w:tc>
        <w:tc>
          <w:tcPr>
            <w:tcW w:w="1510" w:type="dxa"/>
            <w:vAlign w:val="center"/>
          </w:tcPr>
          <w:p w14:paraId="50781A4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2A95480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2793D5C3" w14:textId="77777777" w:rsidTr="00487A73">
        <w:tc>
          <w:tcPr>
            <w:tcW w:w="568" w:type="dxa"/>
            <w:vAlign w:val="center"/>
          </w:tcPr>
          <w:p w14:paraId="730DB9FC" w14:textId="0D930B85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6BC2C193" w14:textId="77777777" w:rsidR="00AF4629" w:rsidRPr="000B6861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0B6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Prijavitelj/partner je dostavio godišnje izvješće za zadnje odobreno računovodstveno razdoblje ili ekvivalentno godišnje izvješće za zadnju dostupnu godinu </w:t>
            </w:r>
            <w:r w:rsidRPr="000B686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je primjenjivo)</w:t>
            </w:r>
            <w:r w:rsidRPr="000B6861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.</w:t>
            </w:r>
          </w:p>
          <w:p w14:paraId="70A4F48D" w14:textId="298902BD" w:rsidR="00AF4629" w:rsidRPr="000B6861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B6861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*Nije primjenjivo za javne istraživačke organizacije</w:t>
            </w:r>
          </w:p>
        </w:tc>
        <w:tc>
          <w:tcPr>
            <w:tcW w:w="1510" w:type="dxa"/>
            <w:vAlign w:val="center"/>
          </w:tcPr>
          <w:p w14:paraId="0346B6B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4ADD51B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A90119C" w14:textId="77777777" w:rsidTr="00487A73">
        <w:tc>
          <w:tcPr>
            <w:tcW w:w="568" w:type="dxa"/>
            <w:vAlign w:val="center"/>
          </w:tcPr>
          <w:p w14:paraId="5DC4CBE3" w14:textId="5D2D98EC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4DDA2D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Prijavitelj/partner je dostavio dokaz o osiguranju vlastitih sredstava za sufinanciranje predloženog projekta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je primjenjivo)</w:t>
            </w: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.</w:t>
            </w:r>
          </w:p>
          <w:p w14:paraId="61CEAA6A" w14:textId="55BDD8D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06C946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708507F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C21B47" w14:paraId="41E1C553" w14:textId="77777777" w:rsidTr="00487A73">
        <w:tc>
          <w:tcPr>
            <w:tcW w:w="568" w:type="dxa"/>
            <w:vAlign w:val="center"/>
          </w:tcPr>
          <w:p w14:paraId="7A1D640C" w14:textId="39508AFF" w:rsidR="00AF4629" w:rsidRPr="00C21B47" w:rsidDel="0038195F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</w:pPr>
            <w:r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>1</w:t>
            </w:r>
            <w:r w:rsidR="00487A73"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>4</w:t>
            </w:r>
            <w:r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4942907" w14:textId="76A16228" w:rsidR="00AF4629" w:rsidRPr="00C21B47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hr-HR"/>
              </w:rPr>
            </w:pPr>
            <w:r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 xml:space="preserve">Prijavitelj/partner je dostavio izvod iz registra stvarnih vlasnika </w:t>
            </w:r>
            <w:r w:rsidRPr="00C21B47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yellow"/>
                <w:lang w:val="hr-HR"/>
              </w:rPr>
              <w:t>(ukoliko je primjenjivo)</w:t>
            </w:r>
            <w:r w:rsidRPr="00C21B47">
              <w:rPr>
                <w:rFonts w:ascii="Times New Roman" w:hAnsi="Times New Roman" w:cs="Times New Roman"/>
                <w:iCs/>
                <w:strike/>
                <w:sz w:val="24"/>
                <w:szCs w:val="24"/>
                <w:highlight w:val="yellow"/>
                <w:lang w:val="hr-HR"/>
              </w:rPr>
              <w:t>.</w:t>
            </w:r>
            <w:r w:rsidRPr="00C21B47">
              <w:rPr>
                <w:strike/>
                <w:lang w:val="hr-HR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52F6D75F" w14:textId="77777777" w:rsidR="00AF4629" w:rsidRPr="00C21B47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62B12B94" w14:textId="77777777" w:rsidR="00AF4629" w:rsidRPr="00C21B47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hr-HR"/>
              </w:rPr>
            </w:pPr>
          </w:p>
        </w:tc>
      </w:tr>
      <w:tr w:rsidR="00AF4629" w:rsidRPr="00AF4629" w14:paraId="5DBCF6FD" w14:textId="77777777" w:rsidTr="00487A73">
        <w:tc>
          <w:tcPr>
            <w:tcW w:w="568" w:type="dxa"/>
            <w:vAlign w:val="center"/>
          </w:tcPr>
          <w:p w14:paraId="3C537CAD" w14:textId="5B076670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21B47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1</w:t>
            </w:r>
            <w:r w:rsidR="00C21B47" w:rsidRPr="00C21B47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4</w:t>
            </w:r>
            <w:r w:rsidR="00487A73"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>5</w:t>
            </w:r>
            <w:r w:rsidRPr="00C21B47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69E2CC04" w14:textId="283F888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i/ili partner su dostavili statut (ili ekvivalentni akt) istraživačke organizacije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(ukoliko je primjenjivo)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10" w:type="dxa"/>
            <w:vAlign w:val="center"/>
          </w:tcPr>
          <w:p w14:paraId="3CB9A71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394D18C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191A90F0" w14:textId="77777777" w:rsidTr="00487A73">
        <w:tc>
          <w:tcPr>
            <w:tcW w:w="568" w:type="dxa"/>
            <w:vAlign w:val="center"/>
          </w:tcPr>
          <w:p w14:paraId="7FAB03AE" w14:textId="0762BC70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15.</w:t>
            </w:r>
          </w:p>
        </w:tc>
        <w:tc>
          <w:tcPr>
            <w:tcW w:w="4819" w:type="dxa"/>
            <w:vAlign w:val="center"/>
          </w:tcPr>
          <w:p w14:paraId="71E3BB6C" w14:textId="77777777" w:rsidR="00C21B47" w:rsidRPr="002A23A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Prijavitelj/partner je dostavio Obrazac 14. Metodologija mjerenja kapaciteta</w:t>
            </w:r>
          </w:p>
          <w:p w14:paraId="5EB9156F" w14:textId="489A1AEA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*</w:t>
            </w:r>
            <w:proofErr w:type="spellStart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Nije</w:t>
            </w:r>
            <w:proofErr w:type="spellEnd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primjenjivo</w:t>
            </w:r>
            <w:proofErr w:type="spellEnd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za</w:t>
            </w:r>
            <w:proofErr w:type="spellEnd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poduzeća</w:t>
            </w:r>
            <w:proofErr w:type="spellEnd"/>
          </w:p>
        </w:tc>
        <w:tc>
          <w:tcPr>
            <w:tcW w:w="1510" w:type="dxa"/>
            <w:vAlign w:val="center"/>
          </w:tcPr>
          <w:p w14:paraId="7D781A76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039C2A97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47" w:rsidRPr="00AF4629" w14:paraId="1DBE2E25" w14:textId="77777777" w:rsidTr="00487A73">
        <w:tc>
          <w:tcPr>
            <w:tcW w:w="568" w:type="dxa"/>
            <w:shd w:val="clear" w:color="auto" w:fill="D9E2F3"/>
            <w:vAlign w:val="center"/>
          </w:tcPr>
          <w:p w14:paraId="0D5BE4F6" w14:textId="77777777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196B62BF" w14:textId="77777777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Kriteriji za p</w:t>
            </w:r>
            <w:r w:rsidRPr="00AF4629">
              <w:rPr>
                <w:rFonts w:ascii="TimesNewRomanPSMT" w:hAnsi="TimesNewRomanPSMT" w:cs="Times New Roman"/>
                <w:b/>
                <w:bCs/>
                <w:color w:val="000000"/>
                <w:sz w:val="24"/>
                <w:szCs w:val="24"/>
                <w:lang w:val="hr-HR"/>
              </w:rPr>
              <w:t>rovjeru prihvatljivosti prijavitelja, partnera, projekta i aktivnosti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47B807C3" w14:textId="77777777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885" w:type="dxa"/>
            <w:shd w:val="clear" w:color="auto" w:fill="D9E2F3"/>
            <w:vAlign w:val="center"/>
          </w:tcPr>
          <w:p w14:paraId="7A0E9D87" w14:textId="77777777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C21B47" w:rsidRPr="00AF4629" w14:paraId="7EAC74D4" w14:textId="77777777" w:rsidTr="00487A73">
        <w:tc>
          <w:tcPr>
            <w:tcW w:w="568" w:type="dxa"/>
          </w:tcPr>
          <w:p w14:paraId="23FCFCB6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819" w:type="dxa"/>
          </w:tcPr>
          <w:p w14:paraId="4E6185D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i/ili partner je pravna osoba koja se može svrstati u mikro, mala ili srednja poduzeća ili veliko poduzeće sukladno definiciji utvrđenoj u Prilogu I. Definicija malih i srednjih poduzeća Uredbe 651/2014.</w:t>
            </w:r>
          </w:p>
          <w:p w14:paraId="77325D03" w14:textId="0E59496D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Prijavni obrazac (Obrazac 1.), Skupna izjava (Obrazac 5.) </w:t>
            </w:r>
          </w:p>
        </w:tc>
        <w:tc>
          <w:tcPr>
            <w:tcW w:w="1510" w:type="dxa"/>
          </w:tcPr>
          <w:p w14:paraId="62273147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149A4DE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1CB8ED0E" w14:textId="77777777" w:rsidTr="00487A73">
        <w:trPr>
          <w:trHeight w:val="1453"/>
        </w:trPr>
        <w:tc>
          <w:tcPr>
            <w:tcW w:w="568" w:type="dxa"/>
          </w:tcPr>
          <w:p w14:paraId="7852C0DA" w14:textId="5F671CC6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EC5B9DF" w14:textId="7F366280" w:rsidR="00C21B47" w:rsidRPr="001A127D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artner je pravna osoba koja se može svrstati u mikro, mala ili srednja poduzeća ili veliko poduzeće sukladno definiciji utvrđenoj u Prilogu I. Definicija malih i srednjih poduzeća Uredbe 651/2014.</w:t>
            </w:r>
          </w:p>
          <w:p w14:paraId="19BD5CCA" w14:textId="72785C40" w:rsidR="00C21B47" w:rsidRPr="001A127D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7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1.), Skupna izjava (Obrazac 5.)</w:t>
            </w:r>
          </w:p>
        </w:tc>
        <w:tc>
          <w:tcPr>
            <w:tcW w:w="1510" w:type="dxa"/>
          </w:tcPr>
          <w:p w14:paraId="109D72F3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34F8549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47" w:rsidRPr="00AF4629" w14:paraId="57F5BAA0" w14:textId="77777777" w:rsidTr="00487A73">
        <w:trPr>
          <w:trHeight w:val="1453"/>
        </w:trPr>
        <w:tc>
          <w:tcPr>
            <w:tcW w:w="568" w:type="dxa"/>
          </w:tcPr>
          <w:p w14:paraId="390AF342" w14:textId="0EB0A834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676A42E3" w14:textId="36DEADCB" w:rsidR="00C21B47" w:rsidRPr="00C1037D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i/ili partner je ˝istraživačka organizacija˝ </w:t>
            </w:r>
            <w:r w:rsidRPr="00C21B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koja zadovoljava definiciju organizacije</w:t>
            </w:r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istraživanje i širenje znanja sukladno Okviru Zajednice za državne potpore za istraživanje i razvoj i inovacije (2022/C 414/01), poglavlju 1.3., točki 16. (</w:t>
            </w:r>
            <w:proofErr w:type="spellStart"/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ff</w:t>
            </w:r>
            <w:proofErr w:type="spellEnd"/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).</w:t>
            </w:r>
          </w:p>
          <w:p w14:paraId="7F3A4F0F" w14:textId="7294EF14" w:rsidR="00C21B47" w:rsidRPr="001A127D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A127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7AF7EEC1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148F4925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66F4E396" w14:textId="77777777" w:rsidTr="00487A73">
        <w:trPr>
          <w:trHeight w:val="1453"/>
        </w:trPr>
        <w:tc>
          <w:tcPr>
            <w:tcW w:w="568" w:type="dxa"/>
          </w:tcPr>
          <w:p w14:paraId="7EA742CE" w14:textId="22661446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6B6EB0BB" w14:textId="3E187D35" w:rsidR="00C21B47" w:rsidRPr="00C1037D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Partner je ˝istraživačka organizacija˝ </w:t>
            </w:r>
            <w:r w:rsidRPr="00C21B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koja zadovoljava definiciju organizacije</w:t>
            </w:r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istraživanje i širenje znanja sukladno Okviru Zajednice za državne potpore za istraživanje i razvoj i inovacije (2022/C 414/01), poglavlju 1.3., točki 16. (</w:t>
            </w:r>
            <w:proofErr w:type="spellStart"/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ff</w:t>
            </w:r>
            <w:proofErr w:type="spellEnd"/>
            <w:r w:rsidRPr="00C103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).</w:t>
            </w:r>
          </w:p>
          <w:p w14:paraId="71BADF54" w14:textId="107EE74E" w:rsidR="00C21B47" w:rsidRPr="001A127D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7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29169B85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358F67C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47" w:rsidRPr="00AF4629" w14:paraId="610EE6E9" w14:textId="77777777" w:rsidTr="00487A73">
        <w:trPr>
          <w:trHeight w:val="1453"/>
        </w:trPr>
        <w:tc>
          <w:tcPr>
            <w:tcW w:w="568" w:type="dxa"/>
          </w:tcPr>
          <w:p w14:paraId="09057015" w14:textId="796B57B4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2D113342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se ne nalazi ni u jednoj situaciji sukladno kriterijima isključenja (UZP, poglavlje 2.3.)</w:t>
            </w:r>
          </w:p>
          <w:p w14:paraId="74C3CE0B" w14:textId="07E82CFE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Izjava prijavitelja (Obrazac 3.)</w:t>
            </w:r>
          </w:p>
        </w:tc>
        <w:tc>
          <w:tcPr>
            <w:tcW w:w="1510" w:type="dxa"/>
          </w:tcPr>
          <w:p w14:paraId="16C47CC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0AF4813E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7119C3CD" w14:textId="77777777" w:rsidTr="00487A73">
        <w:trPr>
          <w:trHeight w:val="1453"/>
        </w:trPr>
        <w:tc>
          <w:tcPr>
            <w:tcW w:w="568" w:type="dxa"/>
          </w:tcPr>
          <w:p w14:paraId="13BD6C1D" w14:textId="2EC7FD74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777858B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 se ne nalazi ni u jednoj situaciji sukladno kriterijima isključenja (UZP, poglavlje 2.3.)</w:t>
            </w:r>
            <w:r w:rsidRPr="00AF4629" w:rsidDel="00266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63F552D7" w14:textId="5EF13B4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Izjava partnera (Obrazac 4.)</w:t>
            </w:r>
          </w:p>
        </w:tc>
        <w:tc>
          <w:tcPr>
            <w:tcW w:w="1510" w:type="dxa"/>
          </w:tcPr>
          <w:p w14:paraId="5577DD5E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72744220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50D8D9C7" w14:textId="77777777" w:rsidTr="00487A73">
        <w:trPr>
          <w:trHeight w:val="1895"/>
        </w:trPr>
        <w:tc>
          <w:tcPr>
            <w:tcW w:w="568" w:type="dxa"/>
          </w:tcPr>
          <w:p w14:paraId="04798B2F" w14:textId="0AF57E30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14C6CFB5" w14:textId="183D5402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1510" w:type="dxa"/>
          </w:tcPr>
          <w:p w14:paraId="2A1B0C00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6AA82D25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59BF95F6" w14:textId="77777777" w:rsidTr="00487A73">
        <w:trPr>
          <w:trHeight w:val="1550"/>
        </w:trPr>
        <w:tc>
          <w:tcPr>
            <w:tcW w:w="568" w:type="dxa"/>
          </w:tcPr>
          <w:p w14:paraId="2A27925E" w14:textId="575AF1FE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2ED02D6C" w14:textId="5B2EAB93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slučaju postojanja sumnje na prijevaru i/ili korupciju jesu li obaviještena nadležna tijela (DORH, USKOK)?</w:t>
            </w:r>
          </w:p>
        </w:tc>
        <w:tc>
          <w:tcPr>
            <w:tcW w:w="1510" w:type="dxa"/>
          </w:tcPr>
          <w:p w14:paraId="036B5FE8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494AE853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40AEDC21" w14:textId="77777777" w:rsidTr="00487A73">
        <w:trPr>
          <w:trHeight w:val="1403"/>
        </w:trPr>
        <w:tc>
          <w:tcPr>
            <w:tcW w:w="568" w:type="dxa"/>
          </w:tcPr>
          <w:p w14:paraId="25E8E818" w14:textId="597CD73B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Pr="00AF4629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4819" w:type="dxa"/>
          </w:tcPr>
          <w:p w14:paraId="46920A9B" w14:textId="77777777" w:rsidR="00C21B47" w:rsidRPr="00AF4629" w:rsidRDefault="00C21B47" w:rsidP="00C21B4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i partner nije udruga ili dobrotvorna organizacija;</w:t>
            </w:r>
          </w:p>
          <w:p w14:paraId="2C20204F" w14:textId="6BADC4AE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678447B2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8BF5F10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416745DB" w14:textId="77777777" w:rsidTr="00487A73">
        <w:trPr>
          <w:trHeight w:val="1403"/>
        </w:trPr>
        <w:tc>
          <w:tcPr>
            <w:tcW w:w="568" w:type="dxa"/>
          </w:tcPr>
          <w:p w14:paraId="11C867BB" w14:textId="47FC2F23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045F4864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 projekta je u skladu s ciljevima predmetne dodjele; </w:t>
            </w:r>
          </w:p>
          <w:p w14:paraId="504034BE" w14:textId="5668DD7F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4A34459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25FD47B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3E158086" w14:textId="77777777" w:rsidTr="00487A73">
        <w:trPr>
          <w:trHeight w:val="1403"/>
        </w:trPr>
        <w:tc>
          <w:tcPr>
            <w:tcW w:w="568" w:type="dxa"/>
          </w:tcPr>
          <w:p w14:paraId="5B2430FB" w14:textId="5EAD3E9A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100641A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Provedba projekta nije započela prije predaje 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projektnog prijedloga;  </w:t>
            </w:r>
          </w:p>
          <w:p w14:paraId="1677E1C8" w14:textId="5B12834E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1.), Izjava prijavitelja (Obrazac 3.) i Izjava partnera (Obrazac 4.);</w:t>
            </w:r>
          </w:p>
        </w:tc>
        <w:tc>
          <w:tcPr>
            <w:tcW w:w="1510" w:type="dxa"/>
          </w:tcPr>
          <w:p w14:paraId="101D6BE8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3C16A3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3141621E" w14:textId="77777777" w:rsidTr="00487A73">
        <w:trPr>
          <w:trHeight w:val="1403"/>
        </w:trPr>
        <w:tc>
          <w:tcPr>
            <w:tcW w:w="568" w:type="dxa"/>
          </w:tcPr>
          <w:p w14:paraId="523CAA96" w14:textId="706BABFF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70443208" w14:textId="74C19159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Projektom je planiran projektni tim odgovoran za administraciju i upravljanje projektom;</w:t>
            </w:r>
          </w:p>
          <w:p w14:paraId="7C6915F4" w14:textId="03404FED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Izvor provjere:</w:t>
            </w: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Pr="00AF462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Prijavni obrazac (Obrazac 1.), Životopisima članova projektnog tima (ako prijavitelj ima imenovan projektni tim)</w:t>
            </w:r>
          </w:p>
        </w:tc>
        <w:tc>
          <w:tcPr>
            <w:tcW w:w="1510" w:type="dxa"/>
          </w:tcPr>
          <w:p w14:paraId="667C2D32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44DEC53C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0D866266" w14:textId="77777777" w:rsidTr="00487A73">
        <w:trPr>
          <w:trHeight w:val="1403"/>
        </w:trPr>
        <w:tc>
          <w:tcPr>
            <w:tcW w:w="568" w:type="dxa"/>
          </w:tcPr>
          <w:p w14:paraId="70A7BBB6" w14:textId="736CF2C6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5546E3AE" w14:textId="77777777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Projektom je planiran istraživački tim;</w:t>
            </w:r>
          </w:p>
          <w:p w14:paraId="6DD93637" w14:textId="1B9966FA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Izvor provjere: Prijavni obrazac (Obrazac 1.), Životopis (Obrazac 8.), za voditelja projekta i istraživačkog tima potrebno je dostaviti Obrazac 8. i 8.a te Ugovor o radu </w:t>
            </w:r>
          </w:p>
        </w:tc>
        <w:tc>
          <w:tcPr>
            <w:tcW w:w="1510" w:type="dxa"/>
          </w:tcPr>
          <w:p w14:paraId="4101DAFC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7F3ACAE3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4CE95E17" w14:textId="77777777" w:rsidTr="00487A73">
        <w:trPr>
          <w:trHeight w:val="1403"/>
        </w:trPr>
        <w:tc>
          <w:tcPr>
            <w:tcW w:w="568" w:type="dxa"/>
          </w:tcPr>
          <w:p w14:paraId="1CAAE5C1" w14:textId="0781E4B2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67104A5A" w14:textId="2977F971" w:rsidR="00C21B47" w:rsidRPr="00AF4629" w:rsidRDefault="00C21B47" w:rsidP="00C21B47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Predviđeno trajanje projekta je minimalno 18 mjeseci, a maksimalno 36 mjeseci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,</w:t>
            </w:r>
            <w:r>
              <w:t xml:space="preserve"> </w:t>
            </w:r>
            <w:r w:rsidRPr="00C21B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odn. završetak provedbe predviđen je za najkasnije do 30. lipnja 2026. godine</w:t>
            </w: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; </w:t>
            </w:r>
          </w:p>
          <w:p w14:paraId="633CDF33" w14:textId="77014E1C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hr-HR"/>
              </w:rPr>
              <w:t>Prijavni obrazac (Obrazac 1.)</w:t>
            </w:r>
          </w:p>
        </w:tc>
        <w:tc>
          <w:tcPr>
            <w:tcW w:w="1510" w:type="dxa"/>
          </w:tcPr>
          <w:p w14:paraId="314B894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39DF771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76C3619C" w14:textId="77777777" w:rsidTr="00487A73">
        <w:trPr>
          <w:trHeight w:val="1403"/>
        </w:trPr>
        <w:tc>
          <w:tcPr>
            <w:tcW w:w="568" w:type="dxa"/>
          </w:tcPr>
          <w:p w14:paraId="0C92701C" w14:textId="6E65E5A2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081E8C33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  <w:t xml:space="preserve">rojekt u trenutku podnošenja projektnog prijedloga nije fizički niti financijski završen, niti se projekt smije završiti prije potpisa Ugovora o dodjeli bespovratnih sredstava; </w:t>
            </w:r>
          </w:p>
          <w:p w14:paraId="68E3A515" w14:textId="16F5361B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Calibri" w:hAnsi="Calibri" w:cs="Times New Roman"/>
                <w:sz w:val="24"/>
                <w:szCs w:val="24"/>
                <w:lang w:val="hr-HR"/>
              </w:rPr>
              <w:t xml:space="preserve"> </w:t>
            </w: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0040F857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783CFA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04DDB63B" w14:textId="77777777" w:rsidTr="00487A73">
        <w:trPr>
          <w:trHeight w:val="1403"/>
        </w:trPr>
        <w:tc>
          <w:tcPr>
            <w:tcW w:w="568" w:type="dxa"/>
          </w:tcPr>
          <w:p w14:paraId="6EA7C690" w14:textId="1790D10A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5829586A" w14:textId="77777777" w:rsidR="00C21B47" w:rsidRPr="00AF4629" w:rsidRDefault="00C21B47" w:rsidP="00C21B47">
            <w:pPr>
              <w:spacing w:after="120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AF462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Projekt se provodi na prihvatljivom zemljopisnom području, na teritoriju RH;</w:t>
            </w:r>
          </w:p>
          <w:p w14:paraId="35796EA9" w14:textId="4531B399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Style w:val="eop"/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0E97160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5359D3B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0F188433" w14:textId="77777777" w:rsidTr="00487A73">
        <w:trPr>
          <w:trHeight w:val="1403"/>
        </w:trPr>
        <w:tc>
          <w:tcPr>
            <w:tcW w:w="568" w:type="dxa"/>
          </w:tcPr>
          <w:p w14:paraId="3B51B3D7" w14:textId="066BF22E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1EC3CD4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Projekt ne uključuje aktivnosti namijenjene proizvodnji proizvoda koji su navedeni na popisu Uredbe o popisu robe vojne namjene, obrambenih proizvoda i nevojnih ubojnih sredstava (NN 26/18, 37/18, 69/19, 107/21</w:t>
            </w:r>
            <w:r w:rsidRPr="00AF4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hr-HR"/>
              </w:rPr>
              <w:t>);</w:t>
            </w:r>
          </w:p>
          <w:p w14:paraId="486CFFC5" w14:textId="58A7B8D8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hr-HR"/>
              </w:rPr>
              <w:t>Izvor provjere: Izjava prijavitelja (Obrazac 3.), Izjava partnera (Obrazac 4.)</w:t>
            </w:r>
          </w:p>
        </w:tc>
        <w:tc>
          <w:tcPr>
            <w:tcW w:w="1510" w:type="dxa"/>
          </w:tcPr>
          <w:p w14:paraId="189CF90B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90AD19E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3BFAB1F5" w14:textId="77777777" w:rsidTr="00487A73">
        <w:trPr>
          <w:trHeight w:val="1403"/>
        </w:trPr>
        <w:tc>
          <w:tcPr>
            <w:tcW w:w="568" w:type="dxa"/>
          </w:tcPr>
          <w:p w14:paraId="3C349A86" w14:textId="3AE073EB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356B2750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Projekt ne uključuje aktivnosti koje su bile dio operacije koja je, ili je trebala biti, podložna postupku povrata sredstava (u skladu s člankom 125. stavkom 3(f) Uredbe (EU) br. 1303/2013) nakon promjene </w:t>
            </w:r>
            <w:r w:rsidRPr="00AF462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proizvodne aktivnosti izvan programskog područja; </w:t>
            </w:r>
          </w:p>
          <w:p w14:paraId="4918E4DD" w14:textId="6ACFF0AA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Izvor provjere: Izjava prijavitelja (Obrazac 3.) i Izjava partnera (Obrazac 4.);</w:t>
            </w:r>
          </w:p>
        </w:tc>
        <w:tc>
          <w:tcPr>
            <w:tcW w:w="1510" w:type="dxa"/>
          </w:tcPr>
          <w:p w14:paraId="5B10D87C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304E03F6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7BE057CC" w14:textId="77777777" w:rsidTr="00487A73">
        <w:trPr>
          <w:trHeight w:val="1403"/>
        </w:trPr>
        <w:tc>
          <w:tcPr>
            <w:tcW w:w="568" w:type="dxa"/>
          </w:tcPr>
          <w:p w14:paraId="3553F1A2" w14:textId="3DC516DD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4650AA56" w14:textId="77777777" w:rsidR="00C21B47" w:rsidRPr="00AF4629" w:rsidRDefault="00C21B47" w:rsidP="00C21B47">
            <w:pPr>
              <w:spacing w:after="120"/>
              <w:ind w:left="-4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rojekt je u skladu s odredbama svih relevantnih nacionalnih zakonodavnih akata, 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uvažavajući pravila o državnim potporama/potporama male vrijednosti te je u skladu sa specifičnim pravilima i zahtjevima primjenjivima na ovaj Poziv;</w:t>
            </w:r>
            <w:r w:rsidRPr="00AF4629" w:rsidDel="000D30CB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  <w:p w14:paraId="70699BDB" w14:textId="1FA37365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1E8D0FC1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24A227D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530A4682" w14:textId="77777777" w:rsidTr="00487A73">
        <w:trPr>
          <w:trHeight w:val="1403"/>
        </w:trPr>
        <w:tc>
          <w:tcPr>
            <w:tcW w:w="568" w:type="dxa"/>
          </w:tcPr>
          <w:p w14:paraId="1E2FC71B" w14:textId="251F2735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C8EAE79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rojekt se, na način opisan u projektnom prijedlogu, ne bi mogao provesti bez potpore iz NPOO-a;  </w:t>
            </w:r>
          </w:p>
          <w:p w14:paraId="29F627A8" w14:textId="68C84E6B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635C317E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62E3AA54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07825C3E" w14:textId="77777777" w:rsidTr="00487A73">
        <w:trPr>
          <w:trHeight w:val="1403"/>
        </w:trPr>
        <w:tc>
          <w:tcPr>
            <w:tcW w:w="568" w:type="dxa"/>
          </w:tcPr>
          <w:p w14:paraId="5F562696" w14:textId="6E51DF96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67753F60" w14:textId="77777777" w:rsidR="00C21B47" w:rsidRPr="00AF4629" w:rsidRDefault="00C21B47" w:rsidP="00C21B47">
            <w:pPr>
              <w:spacing w:after="120"/>
              <w:ind w:left="-45"/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</w:pPr>
            <w:r w:rsidRPr="00AF462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Projekt poštuje načelo nekumulativnosti, odnosno ne predstavlja dvostruko financiranje</w:t>
            </w: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; </w:t>
            </w:r>
          </w:p>
          <w:p w14:paraId="07132721" w14:textId="180D4448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>Izvor provjere: Izjava prijavitelja (Obrazac 3.) i Izjava partnera (Obrazac 4.);</w:t>
            </w:r>
          </w:p>
        </w:tc>
        <w:tc>
          <w:tcPr>
            <w:tcW w:w="1510" w:type="dxa"/>
          </w:tcPr>
          <w:p w14:paraId="04D0E047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C38BB9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7EE50CC5" w14:textId="77777777" w:rsidTr="00487A73">
        <w:trPr>
          <w:trHeight w:val="1403"/>
        </w:trPr>
        <w:tc>
          <w:tcPr>
            <w:tcW w:w="568" w:type="dxa"/>
          </w:tcPr>
          <w:p w14:paraId="27A74F94" w14:textId="35428509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001420A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rojekt je spreman za početak provedbe aktivnosti projekta i njihov završetak u skladu s planom aktivnosti (UzP 5.1.)</w:t>
            </w: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  <w:p w14:paraId="58A498A9" w14:textId="5B4F6933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Izvor provjere: Prijavni obrazac (Obrazac 1.),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3D817891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2AFB1F1B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1F603356" w14:textId="77777777" w:rsidTr="00487A73">
        <w:trPr>
          <w:trHeight w:val="1403"/>
        </w:trPr>
        <w:tc>
          <w:tcPr>
            <w:tcW w:w="568" w:type="dxa"/>
          </w:tcPr>
          <w:p w14:paraId="5A02A3A6" w14:textId="0BABE1BE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1083B521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Iznos </w:t>
            </w: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traženih bespovratnih sredstava za projekt u okviru je propisanog najmanjeg i najvećeg dopuštenog iznosa bespovratnih sredstava za financiranje prihvatljivih izdataka koji se mogu dodijeliti temeljem ovog Poziva;</w:t>
            </w:r>
          </w:p>
          <w:p w14:paraId="324D0C7E" w14:textId="27C8602C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50E51AE9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00462E05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6DEBABD4" w14:textId="77777777" w:rsidTr="00487A73">
        <w:trPr>
          <w:trHeight w:val="1403"/>
        </w:trPr>
        <w:tc>
          <w:tcPr>
            <w:tcW w:w="568" w:type="dxa"/>
          </w:tcPr>
          <w:p w14:paraId="5D7884A1" w14:textId="0CE8C23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4D1E3FC4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u skladu s načelom „ne nanosi bitnu štetu“ što znači da projekt ne uključuje aktivnosti kojima se nanosi bitna šteta bilo kojem od okolišnih ciljeva, u smislu članka 17. Uredbe o taksonomiji (Uredba (EU) 2020/852). Istraživačke aktivnosti nisu povezane s aktivnostima navedenima na listi automatski isključenih aktivnosti prema načelu „ne nanosi bitnu štetu“ i usklađene su s nacionalnim i EU zakonodavstvom iz područja zaštite okoliša;</w:t>
            </w:r>
          </w:p>
          <w:p w14:paraId="73850926" w14:textId="1C811C7F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usklađenosti projektnog prijedloga s načelom „ne nanosi bitnu štetu“ (Obrazac 6.)</w:t>
            </w:r>
          </w:p>
        </w:tc>
        <w:tc>
          <w:tcPr>
            <w:tcW w:w="1510" w:type="dxa"/>
          </w:tcPr>
          <w:p w14:paraId="51BCEFE3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84BC5AF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1C2C498F" w14:textId="77777777" w:rsidTr="00487A73">
        <w:trPr>
          <w:trHeight w:val="1403"/>
        </w:trPr>
        <w:tc>
          <w:tcPr>
            <w:tcW w:w="568" w:type="dxa"/>
          </w:tcPr>
          <w:p w14:paraId="3558CE8D" w14:textId="78876525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202EE2E5" w14:textId="77777777" w:rsidR="00C21B47" w:rsidRPr="00AF4629" w:rsidRDefault="00C21B47" w:rsidP="00C21B4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Aktivnosti projekta su u skladu s prihvatljivim aktivnostima u sklopu ovog Poziva kako su navedene u poglavlju 2.7. Uputa za prijavitelje. </w:t>
            </w:r>
          </w:p>
          <w:p w14:paraId="2AF8BC9C" w14:textId="41C32BDB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236867CB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77629648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1B47" w:rsidRPr="00AF4629" w14:paraId="60A01A23" w14:textId="77777777" w:rsidTr="00487A73">
        <w:trPr>
          <w:trHeight w:val="1403"/>
        </w:trPr>
        <w:tc>
          <w:tcPr>
            <w:tcW w:w="568" w:type="dxa"/>
          </w:tcPr>
          <w:p w14:paraId="04A7082B" w14:textId="66FBE845" w:rsidR="00C21B47" w:rsidRPr="00C21B47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</w:pPr>
            <w:r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>26.</w:t>
            </w:r>
          </w:p>
        </w:tc>
        <w:tc>
          <w:tcPr>
            <w:tcW w:w="4819" w:type="dxa"/>
          </w:tcPr>
          <w:p w14:paraId="77764107" w14:textId="77777777" w:rsidR="00C21B47" w:rsidRPr="00C21B47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</w:pPr>
            <w:r w:rsidRPr="00C21B4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  <w:t>Projekt udovoljava kriteriju iz poglavlja 2.2. Uputa za prijavitelje, odnosno temelji se na učinkovitoj suradnji između prijavitelja i partnera.</w:t>
            </w:r>
          </w:p>
          <w:p w14:paraId="16F1090E" w14:textId="0EA9ACE5" w:rsidR="00C21B47" w:rsidRPr="00C21B47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hr-HR"/>
              </w:rPr>
            </w:pPr>
            <w:r w:rsidRPr="00C21B47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yellow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37F510BD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4F8FF468" w14:textId="77777777" w:rsidR="00C21B47" w:rsidRPr="00AF4629" w:rsidRDefault="00C21B47" w:rsidP="00C21B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6209475" w14:textId="77777777" w:rsidR="009453AE" w:rsidRPr="00AF4629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943F46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C9F1AA" w14:textId="5C47E1B1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3"/>
        <w:tblW w:w="539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5507"/>
        <w:gridCol w:w="1360"/>
        <w:gridCol w:w="2082"/>
      </w:tblGrid>
      <w:tr w:rsidR="00C21B47" w:rsidRPr="00CE17C5" w14:paraId="641666BC" w14:textId="77777777" w:rsidTr="00C21B47">
        <w:tc>
          <w:tcPr>
            <w:tcW w:w="426" w:type="pct"/>
            <w:shd w:val="clear" w:color="auto" w:fill="DBE5F1"/>
            <w:vAlign w:val="center"/>
          </w:tcPr>
          <w:p w14:paraId="6648D5A8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hr-HR"/>
              </w:rPr>
              <w:t>RB</w:t>
            </w:r>
          </w:p>
        </w:tc>
        <w:tc>
          <w:tcPr>
            <w:tcW w:w="2815" w:type="pct"/>
            <w:shd w:val="clear" w:color="auto" w:fill="DBE5F1"/>
            <w:vAlign w:val="center"/>
          </w:tcPr>
          <w:p w14:paraId="13397223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Kriterij</w:t>
            </w:r>
            <w:proofErr w:type="spellEnd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za</w:t>
            </w:r>
            <w:proofErr w:type="spellEnd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administrativnu</w:t>
            </w:r>
            <w:proofErr w:type="spellEnd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provjeru</w:t>
            </w:r>
            <w:proofErr w:type="spellEnd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prije</w:t>
            </w:r>
            <w:proofErr w:type="spellEnd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Style w:val="fontstyle01"/>
                <w:rFonts w:ascii="Times New Roman" w:hAnsi="Times New Roman" w:cs="Times New Roman"/>
                <w:b/>
                <w:highlight w:val="yellow"/>
              </w:rPr>
              <w:t>donošenja</w:t>
            </w:r>
            <w:proofErr w:type="spellEnd"/>
            <w:r w:rsidRPr="00FA3F55">
              <w:rPr>
                <w:rStyle w:val="fontstyle01"/>
                <w:rFonts w:ascii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A3F55">
              <w:rPr>
                <w:rStyle w:val="fontstyle01"/>
                <w:rFonts w:ascii="Times New Roman" w:hAnsi="Times New Roman" w:cs="Times New Roman"/>
                <w:b/>
                <w:highlight w:val="yellow"/>
              </w:rPr>
              <w:t>Odluke</w:t>
            </w:r>
            <w:proofErr w:type="spellEnd"/>
            <w:r w:rsidRPr="00FA3F55">
              <w:rPr>
                <w:rStyle w:val="fontstyle01"/>
                <w:rFonts w:ascii="Times New Roman" w:hAnsi="Times New Roman" w:cs="Times New Roman"/>
                <w:b/>
                <w:highlight w:val="yellow"/>
              </w:rPr>
              <w:t xml:space="preserve"> o </w:t>
            </w:r>
            <w:proofErr w:type="spellStart"/>
            <w:r w:rsidRPr="00FA3F55">
              <w:rPr>
                <w:rStyle w:val="fontstyle01"/>
                <w:rFonts w:ascii="Times New Roman" w:hAnsi="Times New Roman" w:cs="Times New Roman"/>
                <w:b/>
                <w:highlight w:val="yellow"/>
              </w:rPr>
              <w:t>financiranju</w:t>
            </w:r>
            <w:proofErr w:type="spellEnd"/>
          </w:p>
        </w:tc>
        <w:tc>
          <w:tcPr>
            <w:tcW w:w="695" w:type="pct"/>
            <w:shd w:val="clear" w:color="auto" w:fill="DBE5F1"/>
          </w:tcPr>
          <w:p w14:paraId="1DDC75F8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Procjena</w:t>
            </w:r>
            <w:proofErr w:type="spellEnd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 (DA/NE)</w:t>
            </w:r>
          </w:p>
        </w:tc>
        <w:tc>
          <w:tcPr>
            <w:tcW w:w="1064" w:type="pct"/>
            <w:shd w:val="clear" w:color="auto" w:fill="DBE5F1"/>
          </w:tcPr>
          <w:p w14:paraId="2DA668FC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Komentar</w:t>
            </w:r>
            <w:proofErr w:type="spellEnd"/>
          </w:p>
        </w:tc>
      </w:tr>
      <w:tr w:rsidR="00C21B47" w:rsidRPr="00CE17C5" w14:paraId="1C0739FA" w14:textId="77777777" w:rsidTr="00C21B47">
        <w:tc>
          <w:tcPr>
            <w:tcW w:w="426" w:type="pct"/>
            <w:vAlign w:val="center"/>
          </w:tcPr>
          <w:p w14:paraId="4A70164F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  <w:t>1.</w:t>
            </w:r>
          </w:p>
        </w:tc>
        <w:tc>
          <w:tcPr>
            <w:tcW w:w="2815" w:type="pct"/>
            <w:vAlign w:val="center"/>
          </w:tcPr>
          <w:p w14:paraId="4914B0A3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Prijavitelj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i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partner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su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dostavili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svu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dokumentaciju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prema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poglavlju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 4.4.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UzP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-a.</w:t>
            </w:r>
          </w:p>
        </w:tc>
        <w:tc>
          <w:tcPr>
            <w:tcW w:w="695" w:type="pct"/>
            <w:vAlign w:val="center"/>
          </w:tcPr>
          <w:p w14:paraId="39C9322F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064" w:type="pct"/>
            <w:vAlign w:val="center"/>
          </w:tcPr>
          <w:p w14:paraId="76970E29" w14:textId="77777777" w:rsidR="00C21B47" w:rsidRPr="00FA3F55" w:rsidRDefault="00C21B47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</w:tbl>
    <w:p w14:paraId="1F4C24FE" w14:textId="27EC2165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33DF77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10C51A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XSpec="center" w:tblpY="7552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C21B47" w:rsidRPr="00AF4629" w14:paraId="504205A5" w14:textId="77777777" w:rsidTr="00C21B47">
        <w:tc>
          <w:tcPr>
            <w:tcW w:w="9698" w:type="dxa"/>
          </w:tcPr>
          <w:p w14:paraId="3DC6417E" w14:textId="77777777" w:rsidR="00C21B47" w:rsidRPr="00AF4629" w:rsidRDefault="00C21B47" w:rsidP="00C21B47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AF4629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AF4629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administrativnoj provjeri i provjeri prihvatljivosti prijavitelja, partnera i projekta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79CB638C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i provjere prihvatljivosti prijavitelja, partnera i projekta i potrebno  je podnijeti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0AB6FDD4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9346D2F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5B4D5C45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1D9A5BF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55B872B1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014D621" w14:textId="77777777" w:rsidR="00C21B47" w:rsidRPr="00AF4629" w:rsidRDefault="00C21B47" w:rsidP="00C21B47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</w:p>
          <w:p w14:paraId="5A67840E" w14:textId="77777777" w:rsidR="00C21B47" w:rsidRPr="00AF4629" w:rsidRDefault="00C21B47" w:rsidP="00C2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1A664D5D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B2B73C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2C5975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709D1E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4869E7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13B33D" w14:textId="77777777" w:rsidR="00C21B47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CFE95B" w14:textId="77777777" w:rsidR="00C21B47" w:rsidRPr="00AF4629" w:rsidRDefault="00C21B47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3B2C0C09" w:rsidR="00CF6226" w:rsidRPr="00AF4629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AF4629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AF4629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E57E99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administrativnu provjeru i provjeru prihvatljivosti prijavitelja, partnera i projekta </w:t>
      </w: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AF4629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AF4629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344311A2" w:rsidR="00EA17C2" w:rsidRPr="00AF4629" w:rsidRDefault="00C21B47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8AF" w:rsidRPr="00AF462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="00AE68AF" w:rsidRPr="00AF4629">
        <w:rPr>
          <w:rFonts w:ascii="Lucida Sans Unicode" w:eastAsia="Times New Roman" w:hAnsi="Lucida Sans Unicode" w:cs="Lucida Sans Unicode"/>
          <w:i/>
        </w:rPr>
        <w:t>……</w:t>
      </w:r>
      <w:r w:rsidR="00AE68AF" w:rsidRPr="00AF4629">
        <w:rPr>
          <w:rFonts w:ascii="Lucida Sans Unicode" w:eastAsia="Times New Roman" w:hAnsi="Lucida Sans Unicode" w:cs="Lucida Sans Unicode"/>
          <w:i/>
        </w:rPr>
        <w:tab/>
      </w:r>
    </w:p>
    <w:sectPr w:rsidR="00EA17C2" w:rsidRPr="00AF4629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43F9394C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21B4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45B5" w14:textId="77777777" w:rsidR="009453AE" w:rsidRDefault="009453AE" w:rsidP="009453AE">
    <w:pPr>
      <w:pStyle w:val="Header"/>
      <w:rPr>
        <w:noProof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72A06" w14:textId="537ED653" w:rsidR="00C1037D" w:rsidRPr="00C1037D" w:rsidRDefault="00C21B47" w:rsidP="00C1037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highlight w:val="yellow"/>
      </w:rPr>
      <w:t>4</w:t>
    </w:r>
    <w:r w:rsidR="00C1037D" w:rsidRPr="00C1037D">
      <w:rPr>
        <w:rFonts w:ascii="Times New Roman" w:hAnsi="Times New Roman" w:cs="Times New Roman"/>
        <w:noProof/>
        <w:highlight w:val="yellow"/>
      </w:rPr>
      <w:t>. Izmjena</w:t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13338"/>
    <w:multiLevelType w:val="hybridMultilevel"/>
    <w:tmpl w:val="1ED42650"/>
    <w:lvl w:ilvl="0" w:tplc="73C4AB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6861"/>
    <w:rsid w:val="000B7063"/>
    <w:rsid w:val="00115FF7"/>
    <w:rsid w:val="001428C7"/>
    <w:rsid w:val="001434E2"/>
    <w:rsid w:val="0014598A"/>
    <w:rsid w:val="00154E41"/>
    <w:rsid w:val="00160BF8"/>
    <w:rsid w:val="001670B6"/>
    <w:rsid w:val="00182ACD"/>
    <w:rsid w:val="001842E3"/>
    <w:rsid w:val="001A127D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C0DF7"/>
    <w:rsid w:val="002C1201"/>
    <w:rsid w:val="003171D6"/>
    <w:rsid w:val="00333F10"/>
    <w:rsid w:val="0034536A"/>
    <w:rsid w:val="00347296"/>
    <w:rsid w:val="00383930"/>
    <w:rsid w:val="003E275F"/>
    <w:rsid w:val="004033D0"/>
    <w:rsid w:val="004370D6"/>
    <w:rsid w:val="0043739B"/>
    <w:rsid w:val="00437F9B"/>
    <w:rsid w:val="004509A8"/>
    <w:rsid w:val="004520B6"/>
    <w:rsid w:val="00456F58"/>
    <w:rsid w:val="00483E8A"/>
    <w:rsid w:val="004868E9"/>
    <w:rsid w:val="00487A73"/>
    <w:rsid w:val="004A2899"/>
    <w:rsid w:val="004A63E7"/>
    <w:rsid w:val="004C1DF3"/>
    <w:rsid w:val="004D44CD"/>
    <w:rsid w:val="004D65D3"/>
    <w:rsid w:val="004E1A44"/>
    <w:rsid w:val="004E2371"/>
    <w:rsid w:val="004E727F"/>
    <w:rsid w:val="004F3B2C"/>
    <w:rsid w:val="005038A6"/>
    <w:rsid w:val="005142E2"/>
    <w:rsid w:val="00515A3D"/>
    <w:rsid w:val="00544B37"/>
    <w:rsid w:val="00582004"/>
    <w:rsid w:val="005848E1"/>
    <w:rsid w:val="00585B51"/>
    <w:rsid w:val="00597556"/>
    <w:rsid w:val="005A05F0"/>
    <w:rsid w:val="005A31B5"/>
    <w:rsid w:val="005A7C8D"/>
    <w:rsid w:val="005B002F"/>
    <w:rsid w:val="005B4525"/>
    <w:rsid w:val="005D3A22"/>
    <w:rsid w:val="00606CAC"/>
    <w:rsid w:val="00607968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21D4"/>
    <w:rsid w:val="00826D11"/>
    <w:rsid w:val="0083290B"/>
    <w:rsid w:val="00850084"/>
    <w:rsid w:val="008526EB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A0604E"/>
    <w:rsid w:val="00A110F1"/>
    <w:rsid w:val="00A27C02"/>
    <w:rsid w:val="00A329D9"/>
    <w:rsid w:val="00A55030"/>
    <w:rsid w:val="00A61659"/>
    <w:rsid w:val="00A82740"/>
    <w:rsid w:val="00AC75E7"/>
    <w:rsid w:val="00AD5421"/>
    <w:rsid w:val="00AE68AF"/>
    <w:rsid w:val="00AF13C1"/>
    <w:rsid w:val="00AF2F84"/>
    <w:rsid w:val="00AF4629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60F2"/>
    <w:rsid w:val="00B82985"/>
    <w:rsid w:val="00B91DD5"/>
    <w:rsid w:val="00BA42B5"/>
    <w:rsid w:val="00BB6088"/>
    <w:rsid w:val="00BC132C"/>
    <w:rsid w:val="00BF57B0"/>
    <w:rsid w:val="00BF6309"/>
    <w:rsid w:val="00C04F9C"/>
    <w:rsid w:val="00C05481"/>
    <w:rsid w:val="00C1037D"/>
    <w:rsid w:val="00C12D37"/>
    <w:rsid w:val="00C21B4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C0C22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80B8D"/>
    <w:rsid w:val="00D95F92"/>
    <w:rsid w:val="00DC404E"/>
    <w:rsid w:val="00DE71FF"/>
    <w:rsid w:val="00DF5B59"/>
    <w:rsid w:val="00E057D8"/>
    <w:rsid w:val="00E4512C"/>
    <w:rsid w:val="00E57E99"/>
    <w:rsid w:val="00EA17C2"/>
    <w:rsid w:val="00EC4A16"/>
    <w:rsid w:val="00EE07BF"/>
    <w:rsid w:val="00EE77F3"/>
    <w:rsid w:val="00EF4360"/>
    <w:rsid w:val="00F10912"/>
    <w:rsid w:val="00F653C3"/>
    <w:rsid w:val="00F70B9E"/>
    <w:rsid w:val="00F83588"/>
    <w:rsid w:val="00F9398F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43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fontstyle01">
    <w:name w:val="fontstyle01"/>
    <w:basedOn w:val="DefaultParagraphFont"/>
    <w:rsid w:val="00AF46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op">
    <w:name w:val="eop"/>
    <w:basedOn w:val="DefaultParagraphFont"/>
    <w:rsid w:val="00AF4629"/>
  </w:style>
  <w:style w:type="character" w:customStyle="1" w:styleId="Bodytext28">
    <w:name w:val="Body text (2) + 8"/>
    <w:aliases w:val="5 pt"/>
    <w:basedOn w:val="DefaultParagraphFont"/>
    <w:rsid w:val="00EF43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C21B4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CCD0-2512-4B6B-AEE4-771183F4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tpodnar</cp:lastModifiedBy>
  <cp:revision>21</cp:revision>
  <cp:lastPrinted>2022-04-07T12:03:00Z</cp:lastPrinted>
  <dcterms:created xsi:type="dcterms:W3CDTF">2022-08-11T09:20:00Z</dcterms:created>
  <dcterms:modified xsi:type="dcterms:W3CDTF">2023-10-12T10:27:00Z</dcterms:modified>
</cp:coreProperties>
</file>